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D920" w14:textId="77777777" w:rsidR="006D6141" w:rsidRPr="006D6141" w:rsidRDefault="006D6141" w:rsidP="006D6141">
      <w:pPr>
        <w:rPr>
          <w:b/>
          <w:bCs/>
        </w:rPr>
      </w:pPr>
      <w:r w:rsidRPr="006D6141">
        <w:rPr>
          <w:b/>
          <w:bCs/>
        </w:rPr>
        <w:t>1. Peutz-Jeghers Sendromu Nedir?</w:t>
      </w:r>
    </w:p>
    <w:p w14:paraId="5872BCC1" w14:textId="6DD3A45D" w:rsidR="006D6141" w:rsidRDefault="006B66F1">
      <w:r w:rsidRPr="006B66F1">
        <w:t xml:space="preserve">Peutz-Jeghers sendromu (PJS); </w:t>
      </w:r>
      <w:r w:rsidR="0041714C">
        <w:t>görünür farklılık olarak</w:t>
      </w:r>
      <w:r w:rsidR="007029C2">
        <w:t xml:space="preserve"> ağız içi, öellikle dudak, ağız çevresi,</w:t>
      </w:r>
      <w:r w:rsidR="0041714C">
        <w:t xml:space="preserve"> </w:t>
      </w:r>
      <w:r w:rsidR="0041714C" w:rsidRPr="006B66F1">
        <w:t>deri ve mukozada koyu renkli lekeler (mukokutanöz pigmentasyon)</w:t>
      </w:r>
      <w:r w:rsidR="0041714C">
        <w:t xml:space="preserve">, </w:t>
      </w:r>
      <w:r w:rsidRPr="006B66F1">
        <w:t>sindirim sisteminde gelişen polipler ve çeşitli organlarda artmış kanser riski ile karakterize nadir görülen genetik bir durumdur. Hastalığın görülme sıklığının 1:25.000 ile 1:280.000 arasında olduğu tahmin edilmektedir</w:t>
      </w:r>
    </w:p>
    <w:p w14:paraId="46EC9E51" w14:textId="77777777" w:rsidR="007029C2" w:rsidRDefault="007029C2"/>
    <w:p w14:paraId="689796DC" w14:textId="77777777" w:rsidR="007029C2" w:rsidRDefault="007029C2"/>
    <w:p w14:paraId="67ADBCF3" w14:textId="3BB971C7" w:rsidR="006D6141" w:rsidRPr="006D6141" w:rsidRDefault="006D6141" w:rsidP="006D6141">
      <w:pPr>
        <w:rPr>
          <w:b/>
          <w:bCs/>
        </w:rPr>
      </w:pPr>
      <w:r w:rsidRPr="006D6141">
        <w:rPr>
          <w:b/>
          <w:bCs/>
        </w:rPr>
        <w:t>2. PJS’nin Belirtileri Nelerdir?</w:t>
      </w:r>
    </w:p>
    <w:p w14:paraId="4633953D" w14:textId="3FF4EBC2" w:rsidR="00FD40D7" w:rsidRPr="00FD40D7" w:rsidRDefault="00FD40D7" w:rsidP="00FD40D7">
      <w:r w:rsidRPr="00FD40D7">
        <w:rPr>
          <w:b/>
          <w:bCs/>
        </w:rPr>
        <w:t>Deri Bulguları (Pigmentasyon)</w:t>
      </w:r>
    </w:p>
    <w:p w14:paraId="43F129CA" w14:textId="32053E21" w:rsidR="00FD40D7" w:rsidRPr="00FD40D7" w:rsidRDefault="004E1733" w:rsidP="00FD40D7">
      <w:r>
        <w:rPr>
          <w:noProof/>
        </w:rPr>
        <w:drawing>
          <wp:anchor distT="0" distB="0" distL="114300" distR="114300" simplePos="0" relativeHeight="251658240" behindDoc="0" locked="0" layoutInCell="1" allowOverlap="1" wp14:anchorId="71BD7908" wp14:editId="555C3D39">
            <wp:simplePos x="0" y="0"/>
            <wp:positionH relativeFrom="page">
              <wp:align>right</wp:align>
            </wp:positionH>
            <wp:positionV relativeFrom="paragraph">
              <wp:posOffset>160020</wp:posOffset>
            </wp:positionV>
            <wp:extent cx="3034030" cy="1656080"/>
            <wp:effectExtent l="0" t="0" r="0" b="1270"/>
            <wp:wrapSquare wrapText="bothSides"/>
            <wp:docPr id="137506327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4030" cy="1656080"/>
                    </a:xfrm>
                    <a:prstGeom prst="rect">
                      <a:avLst/>
                    </a:prstGeom>
                    <a:noFill/>
                  </pic:spPr>
                </pic:pic>
              </a:graphicData>
            </a:graphic>
            <wp14:sizeRelH relativeFrom="margin">
              <wp14:pctWidth>0</wp14:pctWidth>
            </wp14:sizeRelH>
            <wp14:sizeRelV relativeFrom="margin">
              <wp14:pctHeight>0</wp14:pctHeight>
            </wp14:sizeRelV>
          </wp:anchor>
        </w:drawing>
      </w:r>
      <w:r w:rsidR="00FD40D7" w:rsidRPr="00FD40D7">
        <w:t xml:space="preserve">• Çocukluk çağında (genellikle 5 yaşından önce) dudaklar, ağız çevresi, burun, gözler, parmaklar </w:t>
      </w:r>
      <w:r w:rsidR="00FD40D7" w:rsidRPr="00FD40D7">
        <w:rPr>
          <w:b/>
          <w:bCs/>
        </w:rPr>
        <w:t>koyu mavi/kahverengi lekeler</w:t>
      </w:r>
      <w:r w:rsidR="00FD40D7" w:rsidRPr="00FD40D7">
        <w:t xml:space="preserve"> (maküller) oluşur.</w:t>
      </w:r>
    </w:p>
    <w:p w14:paraId="15DD020D" w14:textId="77777777" w:rsidR="00FD40D7" w:rsidRPr="00FD40D7" w:rsidRDefault="00FD40D7" w:rsidP="00FD40D7">
      <w:r w:rsidRPr="00FD40D7">
        <w:t>• Bu lekeler ergenlik ve yetişkinlikte solabilir, ancak ağız içindeki (yanak mukozası) lekeler genellikle kalıcıdır.</w:t>
      </w:r>
    </w:p>
    <w:p w14:paraId="5AA47421" w14:textId="77777777" w:rsidR="00FD40D7" w:rsidRDefault="00FD40D7" w:rsidP="00FD40D7">
      <w:r w:rsidRPr="00FD40D7">
        <w:t>• Lekeler genellikle bağırsak sorunlarından önce ortaya çıkar ve erken tanı için kritik bir ipucudur.</w:t>
      </w:r>
    </w:p>
    <w:p w14:paraId="6DEF14BE" w14:textId="77777777" w:rsidR="00FD40D7" w:rsidRPr="00FD40D7" w:rsidRDefault="00FD40D7" w:rsidP="00FD40D7"/>
    <w:p w14:paraId="7207F3CC" w14:textId="77777777" w:rsidR="00FD40D7" w:rsidRPr="00FD40D7" w:rsidRDefault="00FD40D7" w:rsidP="00FD40D7">
      <w:r w:rsidRPr="00FD40D7">
        <w:rPr>
          <w:b/>
          <w:bCs/>
        </w:rPr>
        <w:t>Mide ve Bağırsak Polipleri</w:t>
      </w:r>
    </w:p>
    <w:p w14:paraId="3620C2D6" w14:textId="77777777" w:rsidR="00FD40D7" w:rsidRPr="00FD40D7" w:rsidRDefault="00FD40D7" w:rsidP="00FD40D7">
      <w:r w:rsidRPr="00FD40D7">
        <w:t xml:space="preserve">• PJS'ye özgü polipler (hamartomlar) en sık </w:t>
      </w:r>
      <w:r w:rsidRPr="00FD40D7">
        <w:rPr>
          <w:b/>
          <w:bCs/>
        </w:rPr>
        <w:t>ince bağırsakta</w:t>
      </w:r>
      <w:r w:rsidRPr="00FD40D7">
        <w:t xml:space="preserve"> görülür. Ayrıca mide ve kalın bağırsakta da bulunabilirler.</w:t>
      </w:r>
    </w:p>
    <w:p w14:paraId="21DF4A9C" w14:textId="77777777" w:rsidR="00FD40D7" w:rsidRPr="00FD40D7" w:rsidRDefault="00FD40D7" w:rsidP="00FD40D7">
      <w:r w:rsidRPr="00FD40D7">
        <w:t xml:space="preserve">• </w:t>
      </w:r>
      <w:r w:rsidRPr="00FD40D7">
        <w:rPr>
          <w:b/>
          <w:bCs/>
        </w:rPr>
        <w:t>Önemli Risk:</w:t>
      </w:r>
      <w:r w:rsidRPr="00FD40D7">
        <w:t xml:space="preserve"> Polipler büyüyerek kanama, anemi ve </w:t>
      </w:r>
      <w:r w:rsidRPr="00FD40D7">
        <w:rPr>
          <w:b/>
          <w:bCs/>
        </w:rPr>
        <w:t>invajinasyon</w:t>
      </w:r>
      <w:r w:rsidRPr="00FD40D7">
        <w:t xml:space="preserve"> (bağırsağın iç içe geçmesi) adı verilen tehlikeli bir tıkanıklığa yol açabilir.</w:t>
      </w:r>
    </w:p>
    <w:p w14:paraId="0E3E055D" w14:textId="77777777" w:rsidR="00FD40D7" w:rsidRDefault="00FD40D7" w:rsidP="00FD40D7">
      <w:r w:rsidRPr="00FD40D7">
        <w:t>• İnvajinasyon riski 10 yaşında %44, 20 yaşında ise %50'ye kadar çıkar.</w:t>
      </w:r>
    </w:p>
    <w:p w14:paraId="1D3EDDD8" w14:textId="77777777" w:rsidR="00FD40D7" w:rsidRPr="00FD40D7" w:rsidRDefault="00FD40D7" w:rsidP="00FD40D7"/>
    <w:p w14:paraId="7C606738" w14:textId="1EE70BBE" w:rsidR="00FD40D7" w:rsidRPr="00FD40D7" w:rsidRDefault="00FD40D7" w:rsidP="00FD40D7">
      <w:r w:rsidRPr="00FD40D7">
        <w:rPr>
          <w:b/>
          <w:bCs/>
        </w:rPr>
        <w:t>Risk</w:t>
      </w:r>
      <w:r w:rsidR="0041714C">
        <w:rPr>
          <w:b/>
          <w:bCs/>
        </w:rPr>
        <w:t>ler</w:t>
      </w:r>
    </w:p>
    <w:p w14:paraId="1964D684" w14:textId="77777777" w:rsidR="00FD40D7" w:rsidRPr="00FD40D7" w:rsidRDefault="00FD40D7" w:rsidP="00FD40D7">
      <w:r w:rsidRPr="00FD40D7">
        <w:t>• PJS'li bireylerde yaşam boyu kanser riski artmıştır (70 yaşına kadar genel risk %83 olarak bildirilmiştir).</w:t>
      </w:r>
    </w:p>
    <w:p w14:paraId="4C865381" w14:textId="77777777" w:rsidR="00FD40D7" w:rsidRPr="00FD40D7" w:rsidRDefault="00FD40D7" w:rsidP="00FD40D7">
      <w:r w:rsidRPr="00FD40D7">
        <w:t xml:space="preserve">• </w:t>
      </w:r>
      <w:r w:rsidRPr="00FD40D7">
        <w:rPr>
          <w:b/>
          <w:bCs/>
        </w:rPr>
        <w:t>Riskli Organlar:</w:t>
      </w:r>
      <w:r w:rsidRPr="00FD40D7">
        <w:t xml:space="preserve"> Kolon (kalın bağırsak), mide, pankreas, meme ve yumurtalıklar.</w:t>
      </w:r>
    </w:p>
    <w:p w14:paraId="04A13E46" w14:textId="04B4D4B3" w:rsidR="006D6141" w:rsidRDefault="00FD40D7" w:rsidP="006D6141">
      <w:r w:rsidRPr="00FD40D7">
        <w:t>• Kadınlarda yumurtalık (SCTAT) ve rahim ağzı tümörleri; erkeklerde ise jinekomastiye (meme büyümesi) neden olabilen testis tümörleri (Sertoli hücreli) görülebili</w:t>
      </w:r>
      <w:r w:rsidR="007029C2">
        <w:t>r.</w:t>
      </w:r>
    </w:p>
    <w:p w14:paraId="76907E70" w14:textId="77777777" w:rsidR="006D6141" w:rsidRPr="006D6141" w:rsidRDefault="006D6141" w:rsidP="006D6141">
      <w:pPr>
        <w:rPr>
          <w:b/>
          <w:bCs/>
        </w:rPr>
      </w:pPr>
      <w:r w:rsidRPr="006D6141">
        <w:rPr>
          <w:b/>
          <w:bCs/>
        </w:rPr>
        <w:lastRenderedPageBreak/>
        <w:t>3. PJS Tanısı Nasıl Konulur?</w:t>
      </w:r>
    </w:p>
    <w:p w14:paraId="54823394" w14:textId="77777777" w:rsidR="00FD40D7" w:rsidRPr="00FD40D7" w:rsidRDefault="00FD40D7" w:rsidP="00FD40D7">
      <w:r w:rsidRPr="00FD40D7">
        <w:t>Aşağıdaki durumlardan herhangi biri varsa PJS tanısı konur:</w:t>
      </w:r>
    </w:p>
    <w:p w14:paraId="2201A9E1" w14:textId="77777777" w:rsidR="00FD40D7" w:rsidRPr="00FD40D7" w:rsidRDefault="00FD40D7" w:rsidP="00FD40D7">
      <w:r w:rsidRPr="00FD40D7">
        <w:t>1. İki veya daha fazla PJS tipi polibin bulunması.</w:t>
      </w:r>
    </w:p>
    <w:p w14:paraId="34DEF2E8" w14:textId="77777777" w:rsidR="00FD40D7" w:rsidRPr="00FD40D7" w:rsidRDefault="00FD40D7" w:rsidP="00FD40D7">
      <w:r w:rsidRPr="00FD40D7">
        <w:t>2. Karakteristik lekelerin (pigmentasyon) görülmesi ve ailede PJS öyküsü olması.</w:t>
      </w:r>
    </w:p>
    <w:p w14:paraId="681983C6" w14:textId="77777777" w:rsidR="00FD40D7" w:rsidRPr="00FD40D7" w:rsidRDefault="00FD40D7" w:rsidP="00FD40D7">
      <w:r w:rsidRPr="00FD40D7">
        <w:t>3. PJS tipi polip olması ve ailede PJS öyküsü olması.</w:t>
      </w:r>
    </w:p>
    <w:p w14:paraId="35E1266F" w14:textId="77777777" w:rsidR="00FD40D7" w:rsidRPr="00FD40D7" w:rsidRDefault="00FD40D7" w:rsidP="00FD40D7">
      <w:r w:rsidRPr="00FD40D7">
        <w:t>4. Karakteristik lekelerle birlikte PJS tipi polip olması.</w:t>
      </w:r>
    </w:p>
    <w:p w14:paraId="0AD9E181" w14:textId="28508569" w:rsidR="0041714C" w:rsidRDefault="00FD40D7" w:rsidP="00FD40D7">
      <w:r w:rsidRPr="00FD40D7">
        <w:rPr>
          <w:b/>
          <w:bCs/>
        </w:rPr>
        <w:t>Kesin Tanı:</w:t>
      </w:r>
      <w:r w:rsidRPr="00FD40D7">
        <w:t xml:space="preserve"> Moleküler genetik test ile </w:t>
      </w:r>
      <w:r w:rsidRPr="00FD40D7">
        <w:rPr>
          <w:i/>
          <w:iCs/>
        </w:rPr>
        <w:t>STK11</w:t>
      </w:r>
      <w:r w:rsidRPr="00FD40D7">
        <w:t xml:space="preserve"> genindeki </w:t>
      </w:r>
      <w:r w:rsidR="0041714C">
        <w:t>mutasyonun</w:t>
      </w:r>
      <w:r w:rsidRPr="00FD40D7">
        <w:t xml:space="preserve"> saptanması tanıyı kesinleştirir</w:t>
      </w:r>
    </w:p>
    <w:p w14:paraId="03DD6899" w14:textId="77777777" w:rsidR="007029C2" w:rsidRDefault="007029C2" w:rsidP="00FD40D7"/>
    <w:p w14:paraId="57B613EC" w14:textId="77777777" w:rsidR="007029C2" w:rsidRDefault="007029C2" w:rsidP="00FD40D7"/>
    <w:p w14:paraId="3436E18D" w14:textId="2C225E0E" w:rsidR="0041714C" w:rsidRPr="0041714C" w:rsidRDefault="0041714C" w:rsidP="0041714C">
      <w:pPr>
        <w:pStyle w:val="ListeParagraf"/>
        <w:numPr>
          <w:ilvl w:val="0"/>
          <w:numId w:val="13"/>
        </w:numPr>
        <w:rPr>
          <w:b/>
          <w:bCs/>
        </w:rPr>
      </w:pPr>
      <w:r w:rsidRPr="0041714C">
        <w:rPr>
          <w:b/>
          <w:bCs/>
        </w:rPr>
        <w:t>Genetik Geçiş: Ailem Risk Altında mı?</w:t>
      </w:r>
    </w:p>
    <w:p w14:paraId="3877B36B" w14:textId="77777777" w:rsidR="0041714C" w:rsidRPr="006B66F1" w:rsidRDefault="0041714C" w:rsidP="0041714C">
      <w:pPr>
        <w:spacing w:after="0" w:line="240" w:lineRule="auto"/>
        <w:rPr>
          <w:rFonts w:ascii="Times New Roman" w:eastAsia="Times New Roman" w:hAnsi="Times New Roman" w:cs="Times New Roman"/>
          <w:kern w:val="0"/>
          <w:lang w:eastAsia="tr-TR"/>
          <w14:ligatures w14:val="none"/>
        </w:rPr>
      </w:pPr>
      <w:r w:rsidRPr="006B66F1">
        <w:rPr>
          <w:rFonts w:ascii="Times New Roman" w:eastAsia="Times New Roman" w:hAnsi="Times New Roman" w:cs="Times New Roman"/>
          <w:kern w:val="0"/>
          <w:lang w:eastAsia="tr-TR"/>
          <w14:ligatures w14:val="none"/>
        </w:rPr>
        <w:t xml:space="preserve">PJS vakalarının büyük çoğunluğunda sorumlu gen </w:t>
      </w:r>
      <w:r w:rsidRPr="006B66F1">
        <w:rPr>
          <w:rFonts w:ascii="Times New Roman" w:eastAsia="Times New Roman" w:hAnsi="Times New Roman" w:cs="Times New Roman"/>
          <w:b/>
          <w:bCs/>
          <w:kern w:val="0"/>
          <w:lang w:eastAsia="tr-TR"/>
          <w14:ligatures w14:val="none"/>
        </w:rPr>
        <w:t>STK11</w:t>
      </w:r>
      <w:r w:rsidRPr="006B66F1">
        <w:rPr>
          <w:rFonts w:ascii="Times New Roman" w:eastAsia="Times New Roman" w:hAnsi="Times New Roman" w:cs="Times New Roman"/>
          <w:kern w:val="0"/>
          <w:lang w:eastAsia="tr-TR"/>
          <w14:ligatures w14:val="none"/>
        </w:rPr>
        <w:t xml:space="preserve"> genidir.</w:t>
      </w:r>
    </w:p>
    <w:p w14:paraId="632AD780" w14:textId="573EAE96" w:rsidR="0041714C" w:rsidRPr="006B66F1" w:rsidRDefault="0041714C" w:rsidP="0041714C">
      <w:pPr>
        <w:spacing w:after="0" w:line="240" w:lineRule="auto"/>
        <w:rPr>
          <w:rFonts w:ascii="Times New Roman" w:eastAsia="Times New Roman" w:hAnsi="Times New Roman" w:cs="Times New Roman"/>
          <w:kern w:val="0"/>
          <w:lang w:eastAsia="tr-TR"/>
          <w14:ligatures w14:val="none"/>
        </w:rPr>
      </w:pPr>
      <w:r w:rsidRPr="006B66F1">
        <w:rPr>
          <w:rFonts w:ascii="Times New Roman" w:eastAsia="Times New Roman" w:hAnsi="Times New Roman" w:cs="Times New Roman"/>
          <w:kern w:val="0"/>
          <w:lang w:eastAsia="tr-TR"/>
          <w14:ligatures w14:val="none"/>
        </w:rPr>
        <w:t>Ancak klinik olarak PJS tanısı alan bazı bireylerde bu gende mutasyon bulunamayabilir; bu durum farklı genlerin veya</w:t>
      </w:r>
      <w:r>
        <w:rPr>
          <w:rFonts w:ascii="Times New Roman" w:eastAsia="Times New Roman" w:hAnsi="Times New Roman" w:cs="Times New Roman"/>
          <w:kern w:val="0"/>
          <w:lang w:eastAsia="tr-TR"/>
          <w14:ligatures w14:val="none"/>
        </w:rPr>
        <w:t xml:space="preserve"> günümüz teknolojisiyle</w:t>
      </w:r>
      <w:r w:rsidRPr="006B66F1">
        <w:rPr>
          <w:rFonts w:ascii="Times New Roman" w:eastAsia="Times New Roman" w:hAnsi="Times New Roman" w:cs="Times New Roman"/>
          <w:kern w:val="0"/>
          <w:lang w:eastAsia="tr-TR"/>
          <w14:ligatures w14:val="none"/>
        </w:rPr>
        <w:t xml:space="preserve"> tespit edilemeyen genetik değişimlerin rol oynayabileceğini gösterir</w:t>
      </w:r>
    </w:p>
    <w:p w14:paraId="7D9A3C36" w14:textId="77777777" w:rsidR="0041714C" w:rsidRPr="006B66F1" w:rsidRDefault="0041714C" w:rsidP="0041714C">
      <w:pPr>
        <w:pStyle w:val="ListeParagraf"/>
        <w:rPr>
          <w:b/>
          <w:bCs/>
        </w:rPr>
      </w:pPr>
    </w:p>
    <w:p w14:paraId="2104E758" w14:textId="77777777" w:rsidR="0041714C" w:rsidRDefault="0041714C" w:rsidP="0041714C">
      <w:pPr>
        <w:pStyle w:val="ListeParagraf"/>
        <w:numPr>
          <w:ilvl w:val="0"/>
          <w:numId w:val="8"/>
        </w:numPr>
      </w:pPr>
      <w:r w:rsidRPr="006D6141">
        <w:t xml:space="preserve">PJS, </w:t>
      </w:r>
      <w:r w:rsidRPr="00FD40D7">
        <w:rPr>
          <w:b/>
          <w:bCs/>
        </w:rPr>
        <w:t>"Otozomal Dominant (baskın)</w:t>
      </w:r>
      <w:r w:rsidRPr="006D6141">
        <w:t xml:space="preserve"> bir hastalıktır.</w:t>
      </w:r>
      <w:r>
        <w:t xml:space="preserve"> </w:t>
      </w:r>
      <w:r w:rsidRPr="006B66F1">
        <w:t>Hastalığın ortaya çıkması için</w:t>
      </w:r>
      <w:r>
        <w:t xml:space="preserve"> </w:t>
      </w:r>
      <w:r w:rsidRPr="006B66F1">
        <w:t>genin (STK11) kusurlu tek bir kopyasının bulunması</w:t>
      </w:r>
      <w:r>
        <w:t xml:space="preserve"> </w:t>
      </w:r>
      <w:r w:rsidRPr="006B66F1">
        <w:t>yeterlidir. Cinsiyet fark etmeksizin hem erkeklerde hem de kadınlarda görülebilir</w:t>
      </w:r>
      <w:r>
        <w:t xml:space="preserve">. </w:t>
      </w:r>
      <w:r w:rsidRPr="006D6141">
        <w:t xml:space="preserve">PJS'li bir anne veya babanın her bir çocuğuna bu geni aktarma şansı </w:t>
      </w:r>
      <w:r w:rsidRPr="00FD40D7">
        <w:rPr>
          <w:b/>
          <w:bCs/>
        </w:rPr>
        <w:t>%50</w:t>
      </w:r>
      <w:r w:rsidRPr="006D6141">
        <w:t>'dir.</w:t>
      </w:r>
    </w:p>
    <w:p w14:paraId="542BDB08" w14:textId="5A23E2D6" w:rsidR="0041714C" w:rsidRPr="006D6141" w:rsidRDefault="0041714C" w:rsidP="0041714C">
      <w:pPr>
        <w:pStyle w:val="ListeParagraf"/>
        <w:numPr>
          <w:ilvl w:val="0"/>
          <w:numId w:val="8"/>
        </w:numPr>
      </w:pPr>
      <w:r w:rsidRPr="006D6141">
        <w:t>Bazen ailede hiç kimsede yokken çocukta ilk kez ortaya çıkabilir (</w:t>
      </w:r>
      <w:r w:rsidRPr="00C20DC3">
        <w:rPr>
          <w:i/>
          <w:iCs/>
        </w:rPr>
        <w:t>de novo</w:t>
      </w:r>
      <w:r w:rsidRPr="006D6141">
        <w:t xml:space="preserve"> mutasyon).</w:t>
      </w:r>
      <w:r>
        <w:t xml:space="preserve"> </w:t>
      </w:r>
      <w:r w:rsidRPr="00FD40D7">
        <w:t>PJS tanısı alan kişilerin çoğunun hasta bir ebeveyni olsa da önemli bir kısmı (yaklaşık %17-45'i) ailesinde hastalık öyküsü olmayan</w:t>
      </w:r>
      <w:r>
        <w:t>, ailesindeki</w:t>
      </w:r>
      <w:r w:rsidRPr="00FD40D7">
        <w:t xml:space="preserve"> ilk kişilerdir</w:t>
      </w:r>
      <w:r>
        <w:t>.</w:t>
      </w:r>
    </w:p>
    <w:p w14:paraId="317EA75C" w14:textId="77777777" w:rsidR="0041714C" w:rsidRDefault="0041714C" w:rsidP="0041714C">
      <w:pPr>
        <w:numPr>
          <w:ilvl w:val="0"/>
          <w:numId w:val="8"/>
        </w:numPr>
      </w:pPr>
      <w:r w:rsidRPr="006D6141">
        <w:t>Tanı alan bir bireyin tüm kardeşleri ve çocukları mutlaka taranmalıdır.</w:t>
      </w:r>
    </w:p>
    <w:p w14:paraId="70BCB3B2" w14:textId="25369D7F" w:rsidR="007029C2" w:rsidRDefault="0041714C" w:rsidP="007029C2">
      <w:pPr>
        <w:numPr>
          <w:ilvl w:val="0"/>
          <w:numId w:val="8"/>
        </w:numPr>
      </w:pPr>
      <w:r w:rsidRPr="00FD40D7">
        <w:t>Ancak, ailede hastalık yokmuş gibi görünse de ebeveynlerde çok hafif belirtiler olabilir veya ebeveynler "mozaik" (genetik değişimi sadece bazı hücrelerinde taşıyan) yapıda olabilir. Bu durumda kardeşler için risk toplum ortalamasından yüksek olabilir</w:t>
      </w:r>
      <w:r>
        <w:t>.</w:t>
      </w:r>
    </w:p>
    <w:p w14:paraId="5BEC2207" w14:textId="77777777" w:rsidR="002A61C6" w:rsidRDefault="002A61C6" w:rsidP="002A61C6">
      <w:pPr>
        <w:ind w:left="720"/>
      </w:pPr>
    </w:p>
    <w:p w14:paraId="61E61D94" w14:textId="77777777" w:rsidR="002A61C6" w:rsidRDefault="002A61C6" w:rsidP="002A61C6">
      <w:pPr>
        <w:ind w:left="720"/>
      </w:pPr>
    </w:p>
    <w:p w14:paraId="0FF1857B" w14:textId="77777777" w:rsidR="002A61C6" w:rsidRDefault="002A61C6" w:rsidP="002A61C6">
      <w:pPr>
        <w:ind w:left="720"/>
      </w:pPr>
    </w:p>
    <w:p w14:paraId="24F5A9E9" w14:textId="77777777" w:rsidR="002A61C6" w:rsidRDefault="002A61C6" w:rsidP="002A61C6">
      <w:pPr>
        <w:ind w:left="720"/>
      </w:pPr>
    </w:p>
    <w:p w14:paraId="0A44223A" w14:textId="77777777" w:rsidR="002A61C6" w:rsidRDefault="002A61C6" w:rsidP="002A61C6">
      <w:pPr>
        <w:ind w:left="720"/>
      </w:pPr>
    </w:p>
    <w:p w14:paraId="449ED35F" w14:textId="484116A5" w:rsidR="0041714C" w:rsidRPr="00FD40D7" w:rsidRDefault="0041714C" w:rsidP="0041714C">
      <w:pPr>
        <w:pStyle w:val="ListeParagraf"/>
        <w:numPr>
          <w:ilvl w:val="0"/>
          <w:numId w:val="13"/>
        </w:numPr>
      </w:pPr>
      <w:r w:rsidRPr="0041714C">
        <w:rPr>
          <w:b/>
          <w:bCs/>
        </w:rPr>
        <w:lastRenderedPageBreak/>
        <w:t>Genetik Danışmanlık ve Aile Planlaması</w:t>
      </w:r>
    </w:p>
    <w:p w14:paraId="1C1FAAC5" w14:textId="77777777" w:rsidR="0041714C" w:rsidRPr="00FD40D7" w:rsidRDefault="0041714C" w:rsidP="0041714C">
      <w:pPr>
        <w:pStyle w:val="ListeParagraf"/>
        <w:ind w:left="643"/>
      </w:pPr>
    </w:p>
    <w:p w14:paraId="05E71772" w14:textId="77777777" w:rsidR="0041714C" w:rsidRPr="00FD40D7" w:rsidRDefault="0041714C" w:rsidP="0041714C">
      <w:pPr>
        <w:pStyle w:val="ListeParagraf"/>
        <w:numPr>
          <w:ilvl w:val="0"/>
          <w:numId w:val="10"/>
        </w:numPr>
      </w:pPr>
      <w:r w:rsidRPr="00FD40D7">
        <w:t xml:space="preserve">Ailedeki genetik mutasyon biliniyorsa, </w:t>
      </w:r>
      <w:r w:rsidRPr="00FD40D7">
        <w:rPr>
          <w:b/>
          <w:bCs/>
        </w:rPr>
        <w:t>doğum öncesi (prenatal)</w:t>
      </w:r>
      <w:r w:rsidRPr="00FD40D7">
        <w:t xml:space="preserve"> testler veya </w:t>
      </w:r>
      <w:r w:rsidRPr="00FD40D7">
        <w:rPr>
          <w:b/>
          <w:bCs/>
        </w:rPr>
        <w:t>implantasyon öncesi (tüp bebek sırasında)</w:t>
      </w:r>
      <w:r w:rsidRPr="00FD40D7">
        <w:t xml:space="preserve"> genetik tanı yöntemleri uygulanabilir.</w:t>
      </w:r>
    </w:p>
    <w:p w14:paraId="4962C95C" w14:textId="41D5AB2B" w:rsidR="007029C2" w:rsidRDefault="0041714C" w:rsidP="007029C2">
      <w:pPr>
        <w:pStyle w:val="ListeParagraf"/>
        <w:numPr>
          <w:ilvl w:val="0"/>
          <w:numId w:val="10"/>
        </w:numPr>
      </w:pPr>
      <w:r w:rsidRPr="00FD40D7">
        <w:t>Genetik danışmanlık, gebelik öncesinde risklerin ve seçeneklerin değerlendirilmesi için en uygun zamandır</w:t>
      </w:r>
    </w:p>
    <w:p w14:paraId="525F0CE2" w14:textId="77777777" w:rsidR="007029C2" w:rsidRDefault="007029C2" w:rsidP="007029C2">
      <w:pPr>
        <w:pStyle w:val="ListeParagraf"/>
      </w:pPr>
    </w:p>
    <w:p w14:paraId="3A286FAF" w14:textId="77777777" w:rsidR="007029C2" w:rsidRDefault="007029C2" w:rsidP="007029C2">
      <w:pPr>
        <w:pStyle w:val="ListeParagraf"/>
      </w:pPr>
    </w:p>
    <w:p w14:paraId="578067BD" w14:textId="77777777" w:rsidR="002A61C6" w:rsidRDefault="002A61C6" w:rsidP="007029C2">
      <w:pPr>
        <w:pStyle w:val="ListeParagraf"/>
      </w:pPr>
    </w:p>
    <w:p w14:paraId="2255A00D" w14:textId="07967438" w:rsidR="006D6141" w:rsidRPr="006D6141" w:rsidRDefault="0041714C" w:rsidP="006D6141">
      <w:pPr>
        <w:rPr>
          <w:b/>
          <w:bCs/>
        </w:rPr>
      </w:pPr>
      <w:r>
        <w:rPr>
          <w:b/>
          <w:bCs/>
        </w:rPr>
        <w:t>6</w:t>
      </w:r>
      <w:r w:rsidR="006D6141" w:rsidRPr="006D6141">
        <w:rPr>
          <w:b/>
          <w:bCs/>
        </w:rPr>
        <w:t>. Kanser Riski ve Takibi (Neden Önemli?)</w:t>
      </w:r>
    </w:p>
    <w:p w14:paraId="49E9D39C" w14:textId="65A371C0" w:rsidR="006D6141" w:rsidRPr="006D6141" w:rsidRDefault="006D6141" w:rsidP="006D6141">
      <w:r w:rsidRPr="006D6141">
        <w:t>PJS’li bireylerde yaşam boyu bazı organlarda kanser gelişme riski toplumun geneline göre daha yüksektir. Erken teşhis hayat kurtarır.</w:t>
      </w:r>
    </w:p>
    <w:tbl>
      <w:tblPr>
        <w:tblW w:w="9489" w:type="dxa"/>
        <w:jc w:val="center"/>
        <w:tblCellSpacing w:w="15" w:type="dxa"/>
        <w:tblCellMar>
          <w:top w:w="15" w:type="dxa"/>
          <w:left w:w="15" w:type="dxa"/>
          <w:bottom w:w="15" w:type="dxa"/>
          <w:right w:w="15" w:type="dxa"/>
        </w:tblCellMar>
        <w:tblLook w:val="04A0" w:firstRow="1" w:lastRow="0" w:firstColumn="1" w:lastColumn="0" w:noHBand="0" w:noVBand="1"/>
      </w:tblPr>
      <w:tblGrid>
        <w:gridCol w:w="1333"/>
        <w:gridCol w:w="2770"/>
        <w:gridCol w:w="2693"/>
        <w:gridCol w:w="2693"/>
      </w:tblGrid>
      <w:tr w:rsidR="0041714C" w:rsidRPr="006D6141" w14:paraId="51443A75" w14:textId="7AAFE689" w:rsidTr="00E271EE">
        <w:trPr>
          <w:tblHeade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2A67ED0D" w14:textId="77777777" w:rsidR="0041714C" w:rsidRPr="006D6141" w:rsidRDefault="0041714C" w:rsidP="0041714C">
            <w:r w:rsidRPr="006D6141">
              <w:rPr>
                <w:b/>
                <w:bCs/>
              </w:rPr>
              <w:t>Organ</w:t>
            </w:r>
          </w:p>
        </w:tc>
        <w:tc>
          <w:tcPr>
            <w:tcW w:w="2740" w:type="dxa"/>
            <w:tcBorders>
              <w:top w:val="single" w:sz="6" w:space="0" w:color="auto"/>
              <w:left w:val="single" w:sz="6" w:space="0" w:color="auto"/>
              <w:bottom w:val="single" w:sz="6" w:space="0" w:color="auto"/>
              <w:right w:val="single" w:sz="6" w:space="0" w:color="auto"/>
            </w:tcBorders>
            <w:vAlign w:val="center"/>
            <w:hideMark/>
          </w:tcPr>
          <w:p w14:paraId="6FFDDC58" w14:textId="77777777" w:rsidR="0041714C" w:rsidRPr="006D6141" w:rsidRDefault="0041714C" w:rsidP="0041714C">
            <w:r w:rsidRPr="006D6141">
              <w:rPr>
                <w:b/>
                <w:bCs/>
              </w:rPr>
              <w:t>Takip Yöntemi</w:t>
            </w:r>
          </w:p>
        </w:tc>
        <w:tc>
          <w:tcPr>
            <w:tcW w:w="2663" w:type="dxa"/>
            <w:tcBorders>
              <w:top w:val="single" w:sz="6" w:space="0" w:color="auto"/>
              <w:left w:val="single" w:sz="6" w:space="0" w:color="auto"/>
              <w:bottom w:val="single" w:sz="6" w:space="0" w:color="auto"/>
              <w:right w:val="single" w:sz="6" w:space="0" w:color="auto"/>
            </w:tcBorders>
            <w:vAlign w:val="center"/>
            <w:hideMark/>
          </w:tcPr>
          <w:p w14:paraId="78FB06E3" w14:textId="7E3C17C5" w:rsidR="0041714C" w:rsidRPr="00E271EE" w:rsidRDefault="00E271EE" w:rsidP="0041714C">
            <w:pPr>
              <w:rPr>
                <w:b/>
                <w:bCs/>
              </w:rPr>
            </w:pPr>
            <w:r w:rsidRPr="00E271EE">
              <w:rPr>
                <w:b/>
                <w:bCs/>
              </w:rPr>
              <w:t>İlgili Birim (Çocuk/Erişkin)</w:t>
            </w:r>
          </w:p>
        </w:tc>
        <w:tc>
          <w:tcPr>
            <w:tcW w:w="2648" w:type="dxa"/>
            <w:tcBorders>
              <w:top w:val="single" w:sz="6" w:space="0" w:color="auto"/>
              <w:left w:val="single" w:sz="6" w:space="0" w:color="auto"/>
              <w:bottom w:val="single" w:sz="6" w:space="0" w:color="auto"/>
              <w:right w:val="single" w:sz="6" w:space="0" w:color="auto"/>
            </w:tcBorders>
            <w:vAlign w:val="center"/>
          </w:tcPr>
          <w:p w14:paraId="492BFE25" w14:textId="501DBBBC" w:rsidR="0041714C" w:rsidRPr="006D6141" w:rsidRDefault="0041714C" w:rsidP="0041714C">
            <w:pPr>
              <w:rPr>
                <w:b/>
                <w:bCs/>
              </w:rPr>
            </w:pPr>
            <w:r w:rsidRPr="006D6141">
              <w:rPr>
                <w:b/>
                <w:bCs/>
              </w:rPr>
              <w:t>Ne Zaman Başlamalı?</w:t>
            </w:r>
          </w:p>
        </w:tc>
      </w:tr>
      <w:tr w:rsidR="0041714C" w:rsidRPr="006D6141" w14:paraId="50E847F5" w14:textId="37C1AC55"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41838E6B" w14:textId="77777777" w:rsidR="0041714C" w:rsidRPr="006D6141" w:rsidRDefault="0041714C" w:rsidP="0041714C">
            <w:r w:rsidRPr="006D6141">
              <w:rPr>
                <w:b/>
                <w:bCs/>
              </w:rPr>
              <w:t>Bağırsaklar</w:t>
            </w:r>
          </w:p>
        </w:tc>
        <w:tc>
          <w:tcPr>
            <w:tcW w:w="2740" w:type="dxa"/>
            <w:tcBorders>
              <w:top w:val="single" w:sz="6" w:space="0" w:color="auto"/>
              <w:left w:val="single" w:sz="6" w:space="0" w:color="auto"/>
              <w:bottom w:val="single" w:sz="6" w:space="0" w:color="auto"/>
              <w:right w:val="single" w:sz="6" w:space="0" w:color="auto"/>
            </w:tcBorders>
            <w:vAlign w:val="center"/>
            <w:hideMark/>
          </w:tcPr>
          <w:p w14:paraId="6EFB78A2" w14:textId="77777777" w:rsidR="0041714C" w:rsidRPr="006D6141" w:rsidRDefault="0041714C" w:rsidP="0041714C">
            <w:r w:rsidRPr="006D6141">
              <w:t>Kolonoskopi &amp; Üst Endoskopi</w:t>
            </w:r>
          </w:p>
        </w:tc>
        <w:tc>
          <w:tcPr>
            <w:tcW w:w="2663" w:type="dxa"/>
            <w:tcBorders>
              <w:top w:val="single" w:sz="6" w:space="0" w:color="auto"/>
              <w:left w:val="single" w:sz="6" w:space="0" w:color="auto"/>
              <w:bottom w:val="single" w:sz="6" w:space="0" w:color="auto"/>
              <w:right w:val="single" w:sz="6" w:space="0" w:color="auto"/>
            </w:tcBorders>
            <w:vAlign w:val="center"/>
            <w:hideMark/>
          </w:tcPr>
          <w:p w14:paraId="404FCFEB" w14:textId="04D43B2B" w:rsidR="0041714C" w:rsidRPr="006D6141" w:rsidRDefault="00E271EE" w:rsidP="0041714C">
            <w:r>
              <w:t>Çocuk Gastroenteroloji / Gastroenteroloji</w:t>
            </w:r>
          </w:p>
        </w:tc>
        <w:tc>
          <w:tcPr>
            <w:tcW w:w="2648" w:type="dxa"/>
            <w:tcBorders>
              <w:top w:val="single" w:sz="6" w:space="0" w:color="auto"/>
              <w:left w:val="single" w:sz="6" w:space="0" w:color="auto"/>
              <w:bottom w:val="single" w:sz="6" w:space="0" w:color="auto"/>
              <w:right w:val="single" w:sz="6" w:space="0" w:color="auto"/>
            </w:tcBorders>
            <w:vAlign w:val="center"/>
          </w:tcPr>
          <w:p w14:paraId="1BFCF905" w14:textId="1FB7FAFC" w:rsidR="0041714C" w:rsidRPr="006D6141" w:rsidRDefault="0041714C" w:rsidP="0041714C">
            <w:r w:rsidRPr="006D6141">
              <w:t>8 Yaş (Sorun yoksa 18'e kadar ara verilebilir)</w:t>
            </w:r>
          </w:p>
        </w:tc>
      </w:tr>
      <w:tr w:rsidR="00E271EE" w:rsidRPr="006D6141" w14:paraId="1E92A91B" w14:textId="52E9FAE0"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7A1D56D2" w14:textId="77777777" w:rsidR="00E271EE" w:rsidRPr="006D6141" w:rsidRDefault="00E271EE" w:rsidP="00E271EE">
            <w:r w:rsidRPr="006D6141">
              <w:rPr>
                <w:b/>
                <w:bCs/>
              </w:rPr>
              <w:t>İnce Bağırsak</w:t>
            </w:r>
          </w:p>
        </w:tc>
        <w:tc>
          <w:tcPr>
            <w:tcW w:w="2740" w:type="dxa"/>
            <w:tcBorders>
              <w:top w:val="single" w:sz="6" w:space="0" w:color="auto"/>
              <w:left w:val="single" w:sz="6" w:space="0" w:color="auto"/>
              <w:bottom w:val="single" w:sz="6" w:space="0" w:color="auto"/>
              <w:right w:val="single" w:sz="6" w:space="0" w:color="auto"/>
            </w:tcBorders>
            <w:vAlign w:val="center"/>
            <w:hideMark/>
          </w:tcPr>
          <w:p w14:paraId="5298A7CE" w14:textId="77777777" w:rsidR="00E271EE" w:rsidRPr="006D6141" w:rsidRDefault="00E271EE" w:rsidP="00E271EE">
            <w:r w:rsidRPr="006D6141">
              <w:t>Kapsül Endoskopi veya MR Enterografi</w:t>
            </w:r>
          </w:p>
        </w:tc>
        <w:tc>
          <w:tcPr>
            <w:tcW w:w="2663" w:type="dxa"/>
            <w:tcBorders>
              <w:top w:val="single" w:sz="6" w:space="0" w:color="auto"/>
              <w:left w:val="single" w:sz="6" w:space="0" w:color="auto"/>
              <w:bottom w:val="single" w:sz="6" w:space="0" w:color="auto"/>
              <w:right w:val="single" w:sz="6" w:space="0" w:color="auto"/>
            </w:tcBorders>
            <w:vAlign w:val="center"/>
            <w:hideMark/>
          </w:tcPr>
          <w:p w14:paraId="456A6ADE" w14:textId="69694202" w:rsidR="00E271EE" w:rsidRPr="006D6141" w:rsidRDefault="00E271EE" w:rsidP="00E271EE">
            <w:r>
              <w:t>Çocuk Gastroenteroloji / Gastroenteroloji</w:t>
            </w:r>
          </w:p>
        </w:tc>
        <w:tc>
          <w:tcPr>
            <w:tcW w:w="2648" w:type="dxa"/>
            <w:tcBorders>
              <w:top w:val="single" w:sz="6" w:space="0" w:color="auto"/>
              <w:left w:val="single" w:sz="6" w:space="0" w:color="auto"/>
              <w:bottom w:val="single" w:sz="6" w:space="0" w:color="auto"/>
              <w:right w:val="single" w:sz="6" w:space="0" w:color="auto"/>
            </w:tcBorders>
            <w:vAlign w:val="center"/>
          </w:tcPr>
          <w:p w14:paraId="754A36D8" w14:textId="7024474C" w:rsidR="00E271EE" w:rsidRPr="006D6141" w:rsidRDefault="00E271EE" w:rsidP="00E271EE">
            <w:r w:rsidRPr="006D6141">
              <w:t>8 Yaş (1-3 yılda bir)</w:t>
            </w:r>
          </w:p>
        </w:tc>
      </w:tr>
      <w:tr w:rsidR="00E271EE" w:rsidRPr="006D6141" w14:paraId="14FC5F30" w14:textId="3B26E3A5"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7B6E3E35" w14:textId="77777777" w:rsidR="00E271EE" w:rsidRPr="006D6141" w:rsidRDefault="00E271EE" w:rsidP="00E271EE">
            <w:r w:rsidRPr="006D6141">
              <w:rPr>
                <w:b/>
                <w:bCs/>
              </w:rPr>
              <w:t>Meme</w:t>
            </w:r>
          </w:p>
        </w:tc>
        <w:tc>
          <w:tcPr>
            <w:tcW w:w="2740" w:type="dxa"/>
            <w:tcBorders>
              <w:top w:val="single" w:sz="6" w:space="0" w:color="auto"/>
              <w:left w:val="single" w:sz="6" w:space="0" w:color="auto"/>
              <w:bottom w:val="single" w:sz="6" w:space="0" w:color="auto"/>
              <w:right w:val="single" w:sz="6" w:space="0" w:color="auto"/>
            </w:tcBorders>
            <w:vAlign w:val="center"/>
            <w:hideMark/>
          </w:tcPr>
          <w:p w14:paraId="4F556972" w14:textId="77777777" w:rsidR="00E271EE" w:rsidRPr="006D6141" w:rsidRDefault="00E271EE" w:rsidP="00E271EE">
            <w:r w:rsidRPr="006D6141">
              <w:t>Klinik Muayene &amp; MR/Mamografi</w:t>
            </w:r>
          </w:p>
        </w:tc>
        <w:tc>
          <w:tcPr>
            <w:tcW w:w="2663" w:type="dxa"/>
            <w:tcBorders>
              <w:top w:val="single" w:sz="6" w:space="0" w:color="auto"/>
              <w:left w:val="single" w:sz="6" w:space="0" w:color="auto"/>
              <w:bottom w:val="single" w:sz="6" w:space="0" w:color="auto"/>
              <w:right w:val="single" w:sz="6" w:space="0" w:color="auto"/>
            </w:tcBorders>
            <w:vAlign w:val="center"/>
            <w:hideMark/>
          </w:tcPr>
          <w:p w14:paraId="1ABB0D5D" w14:textId="69622ECA" w:rsidR="00E271EE" w:rsidRPr="006D6141" w:rsidRDefault="00E271EE" w:rsidP="00E271EE">
            <w:r>
              <w:t>Çocuk Cerrahisi / Genel Cerrahi</w:t>
            </w:r>
          </w:p>
        </w:tc>
        <w:tc>
          <w:tcPr>
            <w:tcW w:w="2648" w:type="dxa"/>
            <w:tcBorders>
              <w:top w:val="single" w:sz="6" w:space="0" w:color="auto"/>
              <w:left w:val="single" w:sz="6" w:space="0" w:color="auto"/>
              <w:bottom w:val="single" w:sz="6" w:space="0" w:color="auto"/>
              <w:right w:val="single" w:sz="6" w:space="0" w:color="auto"/>
            </w:tcBorders>
            <w:vAlign w:val="center"/>
          </w:tcPr>
          <w:p w14:paraId="5DF80F6D" w14:textId="3AD01FD4" w:rsidR="00E271EE" w:rsidRPr="006D6141" w:rsidRDefault="00E271EE" w:rsidP="00E271EE">
            <w:r w:rsidRPr="006D6141">
              <w:t>25-30 Yaş (6-12 ayda bir)</w:t>
            </w:r>
          </w:p>
        </w:tc>
      </w:tr>
      <w:tr w:rsidR="00E271EE" w:rsidRPr="006D6141" w14:paraId="3FDB65CA" w14:textId="1074A450"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30DC62F8" w14:textId="77777777" w:rsidR="00E271EE" w:rsidRPr="006D6141" w:rsidRDefault="00E271EE" w:rsidP="00E271EE">
            <w:r w:rsidRPr="006D6141">
              <w:rPr>
                <w:b/>
                <w:bCs/>
              </w:rPr>
              <w:t>Pankreas</w:t>
            </w:r>
          </w:p>
        </w:tc>
        <w:tc>
          <w:tcPr>
            <w:tcW w:w="2740" w:type="dxa"/>
            <w:tcBorders>
              <w:top w:val="single" w:sz="6" w:space="0" w:color="auto"/>
              <w:left w:val="single" w:sz="6" w:space="0" w:color="auto"/>
              <w:bottom w:val="single" w:sz="6" w:space="0" w:color="auto"/>
              <w:right w:val="single" w:sz="6" w:space="0" w:color="auto"/>
            </w:tcBorders>
            <w:vAlign w:val="center"/>
            <w:hideMark/>
          </w:tcPr>
          <w:p w14:paraId="11CD9638" w14:textId="77777777" w:rsidR="00E271EE" w:rsidRPr="006D6141" w:rsidRDefault="00E271EE" w:rsidP="00E271EE">
            <w:r w:rsidRPr="006D6141">
              <w:t>Endoskopik Ultrason veya MR</w:t>
            </w:r>
          </w:p>
        </w:tc>
        <w:tc>
          <w:tcPr>
            <w:tcW w:w="2663" w:type="dxa"/>
            <w:tcBorders>
              <w:top w:val="single" w:sz="6" w:space="0" w:color="auto"/>
              <w:left w:val="single" w:sz="6" w:space="0" w:color="auto"/>
              <w:bottom w:val="single" w:sz="6" w:space="0" w:color="auto"/>
              <w:right w:val="single" w:sz="6" w:space="0" w:color="auto"/>
            </w:tcBorders>
            <w:vAlign w:val="center"/>
            <w:hideMark/>
          </w:tcPr>
          <w:p w14:paraId="170898D2" w14:textId="70A16C9F" w:rsidR="00E271EE" w:rsidRPr="006D6141" w:rsidRDefault="00E271EE" w:rsidP="00E271EE">
            <w:r>
              <w:t>Çocuk Gastroenteroloji / Gastroenteroloji</w:t>
            </w:r>
          </w:p>
        </w:tc>
        <w:tc>
          <w:tcPr>
            <w:tcW w:w="2648" w:type="dxa"/>
            <w:tcBorders>
              <w:top w:val="single" w:sz="6" w:space="0" w:color="auto"/>
              <w:left w:val="single" w:sz="6" w:space="0" w:color="auto"/>
              <w:bottom w:val="single" w:sz="6" w:space="0" w:color="auto"/>
              <w:right w:val="single" w:sz="6" w:space="0" w:color="auto"/>
            </w:tcBorders>
            <w:vAlign w:val="center"/>
          </w:tcPr>
          <w:p w14:paraId="65D05120" w14:textId="5D61CD2C" w:rsidR="00E271EE" w:rsidRPr="006D6141" w:rsidRDefault="00E271EE" w:rsidP="00E271EE">
            <w:r w:rsidRPr="006D6141">
              <w:t>30-35 Yaş (Yılda bir)</w:t>
            </w:r>
          </w:p>
        </w:tc>
      </w:tr>
      <w:tr w:rsidR="00E271EE" w:rsidRPr="006D6141" w14:paraId="750B54AC" w14:textId="03C51E15"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5EDCC462" w14:textId="77777777" w:rsidR="00E271EE" w:rsidRPr="006D6141" w:rsidRDefault="00E271EE" w:rsidP="00E271EE">
            <w:r w:rsidRPr="006D6141">
              <w:rPr>
                <w:b/>
                <w:bCs/>
              </w:rPr>
              <w:t>Kadın Üreme</w:t>
            </w:r>
          </w:p>
        </w:tc>
        <w:tc>
          <w:tcPr>
            <w:tcW w:w="2740" w:type="dxa"/>
            <w:tcBorders>
              <w:top w:val="single" w:sz="6" w:space="0" w:color="auto"/>
              <w:left w:val="single" w:sz="6" w:space="0" w:color="auto"/>
              <w:bottom w:val="single" w:sz="6" w:space="0" w:color="auto"/>
              <w:right w:val="single" w:sz="6" w:space="0" w:color="auto"/>
            </w:tcBorders>
            <w:vAlign w:val="center"/>
            <w:hideMark/>
          </w:tcPr>
          <w:p w14:paraId="5666C0D0" w14:textId="77777777" w:rsidR="00E271EE" w:rsidRPr="006D6141" w:rsidRDefault="00E271EE" w:rsidP="00E271EE">
            <w:r w:rsidRPr="006D6141">
              <w:t>Jinekolojik Muayene &amp; Pap Smear</w:t>
            </w:r>
          </w:p>
        </w:tc>
        <w:tc>
          <w:tcPr>
            <w:tcW w:w="2663" w:type="dxa"/>
            <w:tcBorders>
              <w:top w:val="single" w:sz="6" w:space="0" w:color="auto"/>
              <w:left w:val="single" w:sz="6" w:space="0" w:color="auto"/>
              <w:bottom w:val="single" w:sz="6" w:space="0" w:color="auto"/>
              <w:right w:val="single" w:sz="6" w:space="0" w:color="auto"/>
            </w:tcBorders>
            <w:vAlign w:val="center"/>
            <w:hideMark/>
          </w:tcPr>
          <w:p w14:paraId="3EFFC3E7" w14:textId="52BFE751" w:rsidR="00E271EE" w:rsidRPr="006D6141" w:rsidRDefault="00E271EE" w:rsidP="00E271EE">
            <w:r>
              <w:t>Kadın Hastalıkları ve Doğum</w:t>
            </w:r>
          </w:p>
        </w:tc>
        <w:tc>
          <w:tcPr>
            <w:tcW w:w="2648" w:type="dxa"/>
            <w:tcBorders>
              <w:top w:val="single" w:sz="6" w:space="0" w:color="auto"/>
              <w:left w:val="single" w:sz="6" w:space="0" w:color="auto"/>
              <w:bottom w:val="single" w:sz="6" w:space="0" w:color="auto"/>
              <w:right w:val="single" w:sz="6" w:space="0" w:color="auto"/>
            </w:tcBorders>
            <w:vAlign w:val="center"/>
          </w:tcPr>
          <w:p w14:paraId="3C1FBCDB" w14:textId="0C0903EE" w:rsidR="00E271EE" w:rsidRPr="006D6141" w:rsidRDefault="00E271EE" w:rsidP="00E271EE">
            <w:r w:rsidRPr="006D6141">
              <w:t>18-20 Yaş (Yılda bir)</w:t>
            </w:r>
          </w:p>
        </w:tc>
      </w:tr>
      <w:tr w:rsidR="00E271EE" w:rsidRPr="006D6141" w14:paraId="1E688920" w14:textId="289D045D" w:rsidTr="00E271EE">
        <w:trPr>
          <w:tblCellSpacing w:w="15" w:type="dxa"/>
          <w:jc w:val="center"/>
        </w:trPr>
        <w:tc>
          <w:tcPr>
            <w:tcW w:w="1288" w:type="dxa"/>
            <w:tcBorders>
              <w:top w:val="single" w:sz="6" w:space="0" w:color="auto"/>
              <w:left w:val="single" w:sz="6" w:space="0" w:color="auto"/>
              <w:bottom w:val="single" w:sz="6" w:space="0" w:color="auto"/>
              <w:right w:val="single" w:sz="6" w:space="0" w:color="auto"/>
            </w:tcBorders>
            <w:vAlign w:val="center"/>
            <w:hideMark/>
          </w:tcPr>
          <w:p w14:paraId="4EBC4FEE" w14:textId="77777777" w:rsidR="00E271EE" w:rsidRPr="006D6141" w:rsidRDefault="00E271EE" w:rsidP="00E271EE">
            <w:r w:rsidRPr="006D6141">
              <w:rPr>
                <w:b/>
                <w:bCs/>
              </w:rPr>
              <w:t>Erkek Üreme</w:t>
            </w:r>
          </w:p>
        </w:tc>
        <w:tc>
          <w:tcPr>
            <w:tcW w:w="2740" w:type="dxa"/>
            <w:tcBorders>
              <w:top w:val="single" w:sz="6" w:space="0" w:color="auto"/>
              <w:left w:val="single" w:sz="6" w:space="0" w:color="auto"/>
              <w:bottom w:val="single" w:sz="6" w:space="0" w:color="auto"/>
              <w:right w:val="single" w:sz="6" w:space="0" w:color="auto"/>
            </w:tcBorders>
            <w:vAlign w:val="center"/>
            <w:hideMark/>
          </w:tcPr>
          <w:p w14:paraId="29534AA2" w14:textId="77777777" w:rsidR="00E271EE" w:rsidRPr="006D6141" w:rsidRDefault="00E271EE" w:rsidP="00E271EE">
            <w:r w:rsidRPr="006D6141">
              <w:t>Testis Muayene (Hormonal değişim takibi)</w:t>
            </w:r>
          </w:p>
        </w:tc>
        <w:tc>
          <w:tcPr>
            <w:tcW w:w="2663" w:type="dxa"/>
            <w:tcBorders>
              <w:top w:val="single" w:sz="6" w:space="0" w:color="auto"/>
              <w:left w:val="single" w:sz="6" w:space="0" w:color="auto"/>
              <w:bottom w:val="single" w:sz="6" w:space="0" w:color="auto"/>
              <w:right w:val="single" w:sz="6" w:space="0" w:color="auto"/>
            </w:tcBorders>
            <w:vAlign w:val="center"/>
            <w:hideMark/>
          </w:tcPr>
          <w:p w14:paraId="7B62F546" w14:textId="201E9A65" w:rsidR="00E271EE" w:rsidRPr="006D6141" w:rsidRDefault="00E271EE" w:rsidP="00E271EE">
            <w:r>
              <w:t>Çocuk Cerrahisi / Üroloji</w:t>
            </w:r>
          </w:p>
        </w:tc>
        <w:tc>
          <w:tcPr>
            <w:tcW w:w="2648" w:type="dxa"/>
            <w:tcBorders>
              <w:top w:val="single" w:sz="6" w:space="0" w:color="auto"/>
              <w:left w:val="single" w:sz="6" w:space="0" w:color="auto"/>
              <w:bottom w:val="single" w:sz="6" w:space="0" w:color="auto"/>
              <w:right w:val="single" w:sz="6" w:space="0" w:color="auto"/>
            </w:tcBorders>
            <w:vAlign w:val="center"/>
          </w:tcPr>
          <w:p w14:paraId="2ABD1F5B" w14:textId="50E86700" w:rsidR="00E271EE" w:rsidRPr="006D6141" w:rsidRDefault="00E271EE" w:rsidP="00E271EE">
            <w:r w:rsidRPr="006D6141">
              <w:t>10 Yaş (Yılda bir)</w:t>
            </w:r>
          </w:p>
        </w:tc>
      </w:tr>
    </w:tbl>
    <w:p w14:paraId="2424F076" w14:textId="77777777" w:rsidR="00D17C54" w:rsidRPr="00FD40D7" w:rsidRDefault="00D17C54" w:rsidP="00FD40D7"/>
    <w:p w14:paraId="2E2F7DCC" w14:textId="77777777" w:rsidR="002A61C6" w:rsidRDefault="002A61C6" w:rsidP="00FD40D7">
      <w:pPr>
        <w:rPr>
          <w:b/>
          <w:bCs/>
        </w:rPr>
      </w:pPr>
    </w:p>
    <w:p w14:paraId="7E2C8552" w14:textId="77777777" w:rsidR="002A61C6" w:rsidRDefault="002A61C6" w:rsidP="00FD40D7">
      <w:pPr>
        <w:rPr>
          <w:b/>
          <w:bCs/>
        </w:rPr>
      </w:pPr>
    </w:p>
    <w:p w14:paraId="5E9191B1" w14:textId="77777777" w:rsidR="002A61C6" w:rsidRDefault="002A61C6" w:rsidP="00FD40D7">
      <w:pPr>
        <w:rPr>
          <w:b/>
          <w:bCs/>
        </w:rPr>
      </w:pPr>
    </w:p>
    <w:p w14:paraId="03FA85D8" w14:textId="77777777" w:rsidR="002A61C6" w:rsidRDefault="002A61C6" w:rsidP="00FD40D7">
      <w:pPr>
        <w:rPr>
          <w:b/>
          <w:bCs/>
        </w:rPr>
      </w:pPr>
    </w:p>
    <w:p w14:paraId="772D5822" w14:textId="5CFD7EE9" w:rsidR="00FD40D7" w:rsidRPr="00FD40D7" w:rsidRDefault="00FD40D7" w:rsidP="00FD40D7">
      <w:r w:rsidRPr="00FD40D7">
        <w:rPr>
          <w:b/>
          <w:bCs/>
        </w:rPr>
        <w:lastRenderedPageBreak/>
        <w:t>Tedavi Yaklaşımları:</w:t>
      </w:r>
    </w:p>
    <w:p w14:paraId="219B05C4" w14:textId="77777777" w:rsidR="00FD40D7" w:rsidRPr="00FD40D7" w:rsidRDefault="00FD40D7" w:rsidP="00FD40D7">
      <w:r w:rsidRPr="00FD40D7">
        <w:t xml:space="preserve">• </w:t>
      </w:r>
      <w:r w:rsidRPr="00FD40D7">
        <w:rPr>
          <w:b/>
          <w:bCs/>
        </w:rPr>
        <w:t>Polipektomi:</w:t>
      </w:r>
      <w:r w:rsidRPr="00FD40D7">
        <w:t xml:space="preserve"> 1 cm'den büyük poliplerin çıkarılması, acil ameliyat riskini ve kanser gelişimini önlemek için standart yöntemdir.</w:t>
      </w:r>
    </w:p>
    <w:p w14:paraId="5338FBF4" w14:textId="77777777" w:rsidR="00FD40D7" w:rsidRPr="00FD40D7" w:rsidRDefault="00FD40D7" w:rsidP="00FD40D7">
      <w:r w:rsidRPr="00FD40D7">
        <w:t xml:space="preserve">• </w:t>
      </w:r>
      <w:r w:rsidRPr="00FD40D7">
        <w:rPr>
          <w:b/>
          <w:bCs/>
        </w:rPr>
        <w:t>Cerrahi:</w:t>
      </w:r>
      <w:r w:rsidRPr="00FD40D7">
        <w:t xml:space="preserve"> Tıkanıklık durumlarında veya kanser şüphesinde cerrahi müdahale yapılır.</w:t>
      </w:r>
    </w:p>
    <w:p w14:paraId="42C30EDD" w14:textId="64370FDF" w:rsidR="007029C2" w:rsidRDefault="00FD40D7" w:rsidP="006D6141">
      <w:r w:rsidRPr="00FD40D7">
        <w:t>• Risk altındaki aile bireylerinin (kardeşler, çocuklar) genetik test ile belirlenmesi, erken önlem alınması açısından hayati önem taşır</w:t>
      </w:r>
      <w:r w:rsidR="007029C2">
        <w:t>.</w:t>
      </w:r>
    </w:p>
    <w:p w14:paraId="4B6F63FF" w14:textId="77777777" w:rsidR="00D17C54" w:rsidRDefault="00D17C54" w:rsidP="006D6141"/>
    <w:p w14:paraId="51D1F0F7" w14:textId="77777777" w:rsidR="00D17C54" w:rsidRDefault="00D17C54" w:rsidP="00E35221"/>
    <w:p w14:paraId="32A9EDB2" w14:textId="7418AEE0" w:rsidR="00D17C54" w:rsidRDefault="00E35221" w:rsidP="00E35221">
      <w:r w:rsidRPr="00E35221">
        <w:t>Bu kitapçık, Peutz-Jeghers Sendromu</w:t>
      </w:r>
      <w:r>
        <w:t xml:space="preserve">nun bilinirliğinin artırılması ve </w:t>
      </w:r>
      <w:r w:rsidRPr="00E35221">
        <w:t>farkındalık yaratması amacıyla hazırlanmış genel bir bilgilendirme kaynağıdır. Ancak unutulmamalıdır ki, buradaki bilgiler profesyonel bir tıbbi tavsiye, teşhis veya tedavi yerine geçmez.</w:t>
      </w:r>
      <w:r w:rsidR="002A61C6">
        <w:t xml:space="preserve"> </w:t>
      </w:r>
      <w:r w:rsidRPr="00E35221">
        <w:t>PJS takibi; bireysel sağlık durumunuza, aile öykünüze ve genetik profilinize göre kişiselleştirilmelidir. Kitapçıkta yer alan tarama yöntemleri ve aralıkları genel standartları yansıtmakta olup; doktorunuz bu süreleri sizin klinik ihtiyaçlarınıza göre öne çekebilir veya değiştirebilir. Sağlığınızla ilgili her türlü karar ve takip süreci için mutlaka uzman hekiminize danışınız.</w:t>
      </w:r>
    </w:p>
    <w:p w14:paraId="3264BD42" w14:textId="77777777" w:rsidR="00D17C54" w:rsidRPr="00E35221" w:rsidRDefault="00D17C54" w:rsidP="00E35221"/>
    <w:p w14:paraId="60D4C72F" w14:textId="4D25D02F" w:rsidR="00D17C54" w:rsidRPr="00D17C54" w:rsidRDefault="00D17C54" w:rsidP="00FD40D7">
      <w:pPr>
        <w:rPr>
          <w:i/>
          <w:iCs/>
          <w:sz w:val="28"/>
          <w:szCs w:val="28"/>
        </w:rPr>
      </w:pPr>
      <w:r w:rsidRPr="00D17C54">
        <w:rPr>
          <w:i/>
          <w:iCs/>
          <w:sz w:val="28"/>
          <w:szCs w:val="28"/>
        </w:rPr>
        <w:t>Hazırlayanlar: Elif ÜNLÜ</w:t>
      </w:r>
      <w:r w:rsidR="00D214E6">
        <w:rPr>
          <w:i/>
          <w:iCs/>
          <w:sz w:val="28"/>
          <w:szCs w:val="28"/>
        </w:rPr>
        <w:t xml:space="preserve">, </w:t>
      </w:r>
      <w:r w:rsidR="00D214E6" w:rsidRPr="00D17C54">
        <w:rPr>
          <w:i/>
          <w:iCs/>
          <w:sz w:val="28"/>
          <w:szCs w:val="28"/>
        </w:rPr>
        <w:t>Prof. Dr. Fatma SILAN</w:t>
      </w:r>
    </w:p>
    <w:p w14:paraId="2617A447" w14:textId="77777777" w:rsidR="00D17C54" w:rsidRDefault="00D17C54" w:rsidP="00FD40D7">
      <w:pPr>
        <w:rPr>
          <w:b/>
          <w:bCs/>
        </w:rPr>
      </w:pPr>
    </w:p>
    <w:p w14:paraId="45FBB326" w14:textId="77777777" w:rsidR="00D17C54" w:rsidRPr="00D17C54" w:rsidRDefault="00D17C54" w:rsidP="00FD40D7">
      <w:pPr>
        <w:rPr>
          <w:b/>
          <w:bCs/>
        </w:rPr>
      </w:pPr>
    </w:p>
    <w:p w14:paraId="73706122" w14:textId="7CFD8D03" w:rsidR="003707DB" w:rsidRPr="00D17C54" w:rsidRDefault="003707DB" w:rsidP="00FD40D7">
      <w:pPr>
        <w:rPr>
          <w:b/>
          <w:bCs/>
        </w:rPr>
      </w:pPr>
      <w:r w:rsidRPr="00D17C54">
        <w:rPr>
          <w:b/>
          <w:bCs/>
        </w:rPr>
        <w:t>KAYNAKÇA</w:t>
      </w:r>
    </w:p>
    <w:p w14:paraId="50962E2A" w14:textId="0634D8B0" w:rsidR="003707DB" w:rsidRDefault="003707DB" w:rsidP="00FD40D7">
      <w:r w:rsidRPr="003707DB">
        <w:t xml:space="preserve">McGarrity, T. J., Amos, C. I., ve Baker, M. J. (2021, 2 Eylül). </w:t>
      </w:r>
      <w:r w:rsidRPr="003707DB">
        <w:rPr>
          <w:i/>
          <w:iCs/>
        </w:rPr>
        <w:t>Peutz-Jeghers syndrome</w:t>
      </w:r>
      <w:r w:rsidRPr="003707DB">
        <w:t xml:space="preserve">. M. P. Adam, S. Bick, G. M. Mirzaa, vd. (Ed.), </w:t>
      </w:r>
      <w:r w:rsidRPr="003707DB">
        <w:rPr>
          <w:i/>
          <w:iCs/>
        </w:rPr>
        <w:t>GeneReviews</w:t>
      </w:r>
      <w:r w:rsidRPr="003707DB">
        <w:t xml:space="preserve"> içinde. University of Washington, Seattle. </w:t>
      </w:r>
      <w:hyperlink r:id="rId6" w:tgtFrame="_blank" w:history="1">
        <w:r w:rsidRPr="003707DB">
          <w:rPr>
            <w:rStyle w:val="Kpr"/>
          </w:rPr>
          <w:t>https://www.ncbi.nlm.nih.gov/books/NBK1266/</w:t>
        </w:r>
      </w:hyperlink>
    </w:p>
    <w:p w14:paraId="04DCAEC6" w14:textId="77777777" w:rsidR="006D6141" w:rsidRDefault="006D6141" w:rsidP="006D6141"/>
    <w:p w14:paraId="5515F447" w14:textId="77777777" w:rsidR="006D6141" w:rsidRDefault="006D6141" w:rsidP="006D6141"/>
    <w:p w14:paraId="7FEF4642" w14:textId="77777777" w:rsidR="006D6141" w:rsidRPr="006D6141" w:rsidRDefault="006D6141" w:rsidP="006D6141"/>
    <w:p w14:paraId="29A4A510" w14:textId="241D118E" w:rsidR="006D6141" w:rsidRPr="006D6141" w:rsidRDefault="006D6141" w:rsidP="006D6141">
      <w:pPr>
        <w:ind w:left="720"/>
      </w:pPr>
    </w:p>
    <w:p w14:paraId="61E0C2F4" w14:textId="77777777" w:rsidR="006D6141" w:rsidRDefault="006D6141"/>
    <w:sectPr w:rsidR="006D6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1B2"/>
    <w:multiLevelType w:val="multilevel"/>
    <w:tmpl w:val="008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D36AE"/>
    <w:multiLevelType w:val="hybridMultilevel"/>
    <w:tmpl w:val="807A35EE"/>
    <w:lvl w:ilvl="0" w:tplc="B2284CB8">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146F03"/>
    <w:multiLevelType w:val="hybridMultilevel"/>
    <w:tmpl w:val="24A05DE2"/>
    <w:lvl w:ilvl="0" w:tplc="C270FEDE">
      <w:start w:val="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85636AC"/>
    <w:multiLevelType w:val="multilevel"/>
    <w:tmpl w:val="65B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A16DD"/>
    <w:multiLevelType w:val="multilevel"/>
    <w:tmpl w:val="65B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8234B"/>
    <w:multiLevelType w:val="multilevel"/>
    <w:tmpl w:val="79F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510AB"/>
    <w:multiLevelType w:val="multilevel"/>
    <w:tmpl w:val="3AD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47791"/>
    <w:multiLevelType w:val="hybridMultilevel"/>
    <w:tmpl w:val="AED6BC86"/>
    <w:lvl w:ilvl="0" w:tplc="D7068E22">
      <w:start w:val="4"/>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A8A67A5"/>
    <w:multiLevelType w:val="multilevel"/>
    <w:tmpl w:val="F8A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C0B9E"/>
    <w:multiLevelType w:val="multilevel"/>
    <w:tmpl w:val="CD72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4249F2"/>
    <w:multiLevelType w:val="hybridMultilevel"/>
    <w:tmpl w:val="FAF297C4"/>
    <w:lvl w:ilvl="0" w:tplc="7B609D10">
      <w:start w:val="4"/>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1" w15:restartNumberingAfterBreak="0">
    <w:nsid w:val="70F82E0A"/>
    <w:multiLevelType w:val="multilevel"/>
    <w:tmpl w:val="D93E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06370"/>
    <w:multiLevelType w:val="multilevel"/>
    <w:tmpl w:val="7CA4161C"/>
    <w:lvl w:ilvl="0">
      <w:start w:val="1"/>
      <w:numFmt w:val="decimal"/>
      <w:lvlText w:val="%1."/>
      <w:lvlJc w:val="left"/>
      <w:pPr>
        <w:tabs>
          <w:tab w:val="num" w:pos="643"/>
        </w:tabs>
        <w:ind w:left="643"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885808">
    <w:abstractNumId w:val="8"/>
  </w:num>
  <w:num w:numId="2" w16cid:durableId="1573927417">
    <w:abstractNumId w:val="5"/>
  </w:num>
  <w:num w:numId="3" w16cid:durableId="918487689">
    <w:abstractNumId w:val="12"/>
  </w:num>
  <w:num w:numId="4" w16cid:durableId="574777359">
    <w:abstractNumId w:val="0"/>
  </w:num>
  <w:num w:numId="5" w16cid:durableId="677582650">
    <w:abstractNumId w:val="6"/>
  </w:num>
  <w:num w:numId="6" w16cid:durableId="1506626482">
    <w:abstractNumId w:val="9"/>
  </w:num>
  <w:num w:numId="7" w16cid:durableId="1783644744">
    <w:abstractNumId w:val="11"/>
  </w:num>
  <w:num w:numId="8" w16cid:durableId="1485463255">
    <w:abstractNumId w:val="3"/>
  </w:num>
  <w:num w:numId="9" w16cid:durableId="2056344188">
    <w:abstractNumId w:val="4"/>
  </w:num>
  <w:num w:numId="10" w16cid:durableId="773014968">
    <w:abstractNumId w:val="1"/>
  </w:num>
  <w:num w:numId="11" w16cid:durableId="835074850">
    <w:abstractNumId w:val="10"/>
  </w:num>
  <w:num w:numId="12" w16cid:durableId="927738834">
    <w:abstractNumId w:val="2"/>
  </w:num>
  <w:num w:numId="13" w16cid:durableId="2124228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41"/>
    <w:rsid w:val="0018753A"/>
    <w:rsid w:val="002A61C6"/>
    <w:rsid w:val="003707DB"/>
    <w:rsid w:val="0041714C"/>
    <w:rsid w:val="004E1733"/>
    <w:rsid w:val="005C21A2"/>
    <w:rsid w:val="00644078"/>
    <w:rsid w:val="006B66F1"/>
    <w:rsid w:val="006D6141"/>
    <w:rsid w:val="006E4A73"/>
    <w:rsid w:val="007029C2"/>
    <w:rsid w:val="007C2422"/>
    <w:rsid w:val="00A6658F"/>
    <w:rsid w:val="00B63793"/>
    <w:rsid w:val="00B90603"/>
    <w:rsid w:val="00C20DC3"/>
    <w:rsid w:val="00CA0125"/>
    <w:rsid w:val="00CB0133"/>
    <w:rsid w:val="00D17C54"/>
    <w:rsid w:val="00D214E6"/>
    <w:rsid w:val="00E271EE"/>
    <w:rsid w:val="00E35221"/>
    <w:rsid w:val="00E67134"/>
    <w:rsid w:val="00FD40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009A"/>
  <w15:chartTrackingRefBased/>
  <w15:docId w15:val="{E91D1755-7466-46F9-AB05-ED67E7E7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D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D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D614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D614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614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61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61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61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61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614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D614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D614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D614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614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61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61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61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6141"/>
    <w:rPr>
      <w:rFonts w:eastAsiaTheme="majorEastAsia" w:cstheme="majorBidi"/>
      <w:color w:val="272727" w:themeColor="text1" w:themeTint="D8"/>
    </w:rPr>
  </w:style>
  <w:style w:type="paragraph" w:styleId="KonuBal">
    <w:name w:val="Title"/>
    <w:basedOn w:val="Normal"/>
    <w:next w:val="Normal"/>
    <w:link w:val="KonuBalChar"/>
    <w:uiPriority w:val="10"/>
    <w:qFormat/>
    <w:rsid w:val="006D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61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61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61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61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6141"/>
    <w:rPr>
      <w:i/>
      <w:iCs/>
      <w:color w:val="404040" w:themeColor="text1" w:themeTint="BF"/>
    </w:rPr>
  </w:style>
  <w:style w:type="paragraph" w:styleId="ListeParagraf">
    <w:name w:val="List Paragraph"/>
    <w:basedOn w:val="Normal"/>
    <w:uiPriority w:val="34"/>
    <w:qFormat/>
    <w:rsid w:val="006D6141"/>
    <w:pPr>
      <w:ind w:left="720"/>
      <w:contextualSpacing/>
    </w:pPr>
  </w:style>
  <w:style w:type="character" w:styleId="GlVurgulama">
    <w:name w:val="Intense Emphasis"/>
    <w:basedOn w:val="VarsaylanParagrafYazTipi"/>
    <w:uiPriority w:val="21"/>
    <w:qFormat/>
    <w:rsid w:val="006D6141"/>
    <w:rPr>
      <w:i/>
      <w:iCs/>
      <w:color w:val="0F4761" w:themeColor="accent1" w:themeShade="BF"/>
    </w:rPr>
  </w:style>
  <w:style w:type="paragraph" w:styleId="GlAlnt">
    <w:name w:val="Intense Quote"/>
    <w:basedOn w:val="Normal"/>
    <w:next w:val="Normal"/>
    <w:link w:val="GlAlntChar"/>
    <w:uiPriority w:val="30"/>
    <w:qFormat/>
    <w:rsid w:val="006D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6141"/>
    <w:rPr>
      <w:i/>
      <w:iCs/>
      <w:color w:val="0F4761" w:themeColor="accent1" w:themeShade="BF"/>
    </w:rPr>
  </w:style>
  <w:style w:type="character" w:styleId="GlBavuru">
    <w:name w:val="Intense Reference"/>
    <w:basedOn w:val="VarsaylanParagrafYazTipi"/>
    <w:uiPriority w:val="32"/>
    <w:qFormat/>
    <w:rsid w:val="006D6141"/>
    <w:rPr>
      <w:b/>
      <w:bCs/>
      <w:smallCaps/>
      <w:color w:val="0F4761" w:themeColor="accent1" w:themeShade="BF"/>
      <w:spacing w:val="5"/>
    </w:rPr>
  </w:style>
  <w:style w:type="character" w:customStyle="1" w:styleId="ng-star-inserted">
    <w:name w:val="ng-star-inserted"/>
    <w:basedOn w:val="VarsaylanParagrafYazTipi"/>
    <w:rsid w:val="006B66F1"/>
  </w:style>
  <w:style w:type="character" w:styleId="Kpr">
    <w:name w:val="Hyperlink"/>
    <w:basedOn w:val="VarsaylanParagrafYazTipi"/>
    <w:uiPriority w:val="99"/>
    <w:unhideWhenUsed/>
    <w:rsid w:val="003707DB"/>
    <w:rPr>
      <w:color w:val="467886" w:themeColor="hyperlink"/>
      <w:u w:val="single"/>
    </w:rPr>
  </w:style>
  <w:style w:type="character" w:styleId="zmlenmeyenBahsetme">
    <w:name w:val="Unresolved Mention"/>
    <w:basedOn w:val="VarsaylanParagrafYazTipi"/>
    <w:uiPriority w:val="99"/>
    <w:semiHidden/>
    <w:unhideWhenUsed/>
    <w:rsid w:val="00370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126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1313</TotalTime>
  <Pages>4</Pages>
  <Words>859</Words>
  <Characters>4900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ÜNLÜ</dc:creator>
  <cp:keywords/>
  <dc:description/>
  <cp:lastModifiedBy>Elif ÜNLÜ</cp:lastModifiedBy>
  <cp:revision>11</cp:revision>
  <dcterms:created xsi:type="dcterms:W3CDTF">2026-02-03T23:21:00Z</dcterms:created>
  <dcterms:modified xsi:type="dcterms:W3CDTF">2026-02-06T21:05:00Z</dcterms:modified>
</cp:coreProperties>
</file>